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    ΜΟΝΟΜΕΛΕΣ </w:t>
      </w:r>
      <w:r>
        <w:rPr>
          <w:b/>
          <w:bCs/>
          <w:i w:val="false"/>
          <w:iCs w:val="false"/>
          <w:sz w:val="32"/>
          <w:szCs w:val="32"/>
          <w:lang w:val="el-GR"/>
        </w:rPr>
        <w:t>ΕΚΟΥΣΙΑ</w:t>
      </w:r>
      <w:r>
        <w:rPr>
          <w:b/>
          <w:bCs/>
          <w:sz w:val="32"/>
          <w:szCs w:val="32"/>
        </w:rPr>
        <w:t xml:space="preserve">                                                               Συνεδρίαση της  </w:t>
      </w:r>
      <w:r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  <w:lang w:val="en-US"/>
        </w:rPr>
        <w:t>-0</w:t>
      </w:r>
      <w:r>
        <w:rPr>
          <w:b/>
          <w:bCs/>
          <w:sz w:val="32"/>
          <w:szCs w:val="32"/>
          <w:lang w:val="el-GR"/>
        </w:rPr>
        <w:t>4</w:t>
      </w:r>
      <w:r>
        <w:rPr>
          <w:b/>
          <w:bCs/>
          <w:sz w:val="32"/>
          <w:szCs w:val="32"/>
          <w:lang w:val="en-US"/>
        </w:rPr>
        <w:t>-2021</w:t>
      </w:r>
      <w:r>
        <w:rPr>
          <w:b/>
          <w:bCs/>
          <w:sz w:val="32"/>
          <w:szCs w:val="32"/>
        </w:rPr>
        <w:t xml:space="preserve">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18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609/ΜΕ103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24-08-2020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1)Γεώργιος Κάτρης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2)Αφροδίτη Κάτρη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Στέφανος Χατζημιχάλης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15/23-02-2021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Νικήτας Βαζανέλης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Αίτηση ανάκλησης διαχειριστή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36/ΜΕ5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16-01-2020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1)Μεχμέτ Ιμβραήμογλου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2)Νουρτζάν Μποδούρ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Αγροτική Τράπεζα της Ελλάδος ΑΕ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15/23-02-2021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Ευαγγελία Τσάμπαλλα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(Κλήση) Έφεση Ν.3869/2010 επανασυζήτηση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10-11-2020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LibreOffice/6.0.5.2$Windows_X86_64 LibreOffice_project/54c8cbb85f300ac59db32fe8a675ff7683cd5a16</Application>
  <Pages>1</Pages>
  <Words>85</Words>
  <Characters>615</Characters>
  <CharactersWithSpaces>815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2021-02-23T14:05:44Z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