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        ΜΟΝΟΜΕΛΕΣ </w:t>
      </w:r>
      <w:r>
        <w:rPr>
          <w:b/>
          <w:bCs/>
          <w:sz w:val="32"/>
          <w:szCs w:val="32"/>
        </w:rPr>
        <w:t xml:space="preserve">ΕΙΔΙΚΗ ΠΙΝΑΚΙΟΥ </w:t>
      </w:r>
      <w:r>
        <w:rPr>
          <w:b/>
          <w:bCs/>
          <w:sz w:val="32"/>
          <w:szCs w:val="32"/>
        </w:rPr>
        <w:t>(ΜΕΤΑΒΑΤΙΚΟ ΚΑΛΥΜΝΟΥ)                       Συνεδρίαση της  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-5-202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3"/>
        <w:gridCol w:w="2104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-/ΜΕΙ 69/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16-7-2020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Νικήτας Ρούφας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1)Γεώργιος Σκουτέλης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Κων/νος Δένδης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Περιουσιακών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Διαφορών-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Αυτοκίνητα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-/ΜΕΙ 129/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22-10-2019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1)Γεωργία Μαγκούλια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2)Σταύρος Μαγκούλιας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1)Γεώργιος Τρικοίλης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2)Παναγιώτης ή Σταύρος Χαρινός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3)Καλλιόπη συζ. ΓεωργίουΤρικοίλη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4)Ελένη συζ. Παναγιώτη Χαρινού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5)Μιχαήλ Χαρινός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6)Δήμητρα συζ. Μιχαήλ Χαρινού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Νομική Κυπραίου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Διαφορές από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οροφοκτησία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-/ΜΕΙ 127/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10-10-2019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Χρυσοβαλάντης Κορφιάς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1)Πετράντα συζ. Μιχαήλ Κορφιά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2)”</w:t>
            </w:r>
            <w:r>
              <w:rPr>
                <w:sz w:val="24"/>
                <w:szCs w:val="24"/>
                <w:lang w:val="en-US"/>
              </w:rPr>
              <w:t xml:space="preserve">BROKERS UNION </w:t>
            </w:r>
            <w:r>
              <w:rPr>
                <w:sz w:val="24"/>
                <w:szCs w:val="24"/>
                <w:lang w:val="el-GR"/>
              </w:rPr>
              <w:t xml:space="preserve">ΜΕΣΙΤΕΣ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 xml:space="preserve">     </w:t>
            </w:r>
            <w:r>
              <w:rPr>
                <w:sz w:val="24"/>
                <w:szCs w:val="24"/>
                <w:lang w:val="el-GR"/>
              </w:rPr>
              <w:t>ΑΣΦΑΛΕΙΩΝ Α.Ε.”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Μαρία Μακαρούνα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Αυτοκίνητα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LibreOffice/6.2.3.2$Windows_X86_64 LibreOffice_project/aecc05fe267cc68dde00352a451aa867b3b546ac</Application>
  <Pages>1</Pages>
  <Words>134</Words>
  <Characters>931</Characters>
  <CharactersWithSpaces>1086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2021-02-23T13:42:23Z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